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8F" w:rsidRPr="007B518F" w:rsidRDefault="007B518F" w:rsidP="007B518F">
      <w:pPr>
        <w:pStyle w:val="10"/>
        <w:shd w:val="clear" w:color="auto" w:fill="auto"/>
        <w:spacing w:after="0" w:line="300" w:lineRule="exact"/>
        <w:ind w:left="3713" w:right="3639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bookmark0"/>
      <w:r w:rsidRPr="007B518F">
        <w:rPr>
          <w:rFonts w:asciiTheme="minorHAnsi" w:hAnsiTheme="minorHAnsi" w:cstheme="minorHAnsi"/>
          <w:b/>
          <w:sz w:val="22"/>
          <w:szCs w:val="22"/>
        </w:rPr>
        <w:t>ΓΕΝΙΚΑ</w:t>
      </w:r>
      <w:bookmarkEnd w:id="0"/>
    </w:p>
    <w:p w:rsidR="007B518F" w:rsidRPr="007B518F" w:rsidRDefault="007B518F" w:rsidP="007B518F">
      <w:pPr>
        <w:pStyle w:val="10"/>
        <w:shd w:val="clear" w:color="auto" w:fill="auto"/>
        <w:spacing w:after="0" w:line="392" w:lineRule="exact"/>
        <w:ind w:left="148" w:right="81"/>
        <w:rPr>
          <w:rFonts w:asciiTheme="minorHAnsi" w:hAnsiTheme="minorHAnsi" w:cstheme="minorHAnsi"/>
          <w:b/>
          <w:sz w:val="22"/>
          <w:szCs w:val="22"/>
        </w:rPr>
      </w:pPr>
      <w:bookmarkStart w:id="1" w:name="bookmark1"/>
      <w:r w:rsidRPr="007B518F">
        <w:rPr>
          <w:rFonts w:asciiTheme="minorHAnsi" w:hAnsiTheme="minorHAnsi" w:cstheme="minorHAnsi"/>
          <w:b/>
          <w:sz w:val="22"/>
          <w:szCs w:val="22"/>
        </w:rPr>
        <w:t>ΕΛΕΥΘΕΡΑΣ (ΔΩΡΕΑΝ) ΚΑΙ ΜΕΙΩΜΕΝΑ ΕΙΣΙΤΗΡΙΑ ΣΤΑ</w:t>
      </w:r>
      <w:r w:rsidRPr="007B518F">
        <w:rPr>
          <w:rFonts w:asciiTheme="minorHAnsi" w:hAnsiTheme="minorHAnsi" w:cstheme="minorHAnsi"/>
          <w:b/>
          <w:sz w:val="22"/>
          <w:szCs w:val="22"/>
        </w:rPr>
        <w:br/>
        <w:t>ΑΣΤΙΚΑ ΚΑΙ ΥΠΕΡΑΣΤΙΚΑ ΣΥΓΚΟΙΝΩΝΙΑΚΑ ΜΕΣΑ</w:t>
      </w:r>
      <w:bookmarkEnd w:id="1"/>
    </w:p>
    <w:p w:rsidR="007B518F" w:rsidRDefault="007B518F" w:rsidP="00CC25A2">
      <w:pPr>
        <w:spacing w:after="180" w:line="240" w:lineRule="auto"/>
        <w:ind w:right="20"/>
        <w:rPr>
          <w:rStyle w:val="a0"/>
          <w:rFonts w:asciiTheme="minorHAnsi" w:eastAsiaTheme="minorHAnsi" w:hAnsiTheme="minorHAnsi" w:cstheme="minorHAnsi"/>
          <w:sz w:val="22"/>
          <w:szCs w:val="22"/>
        </w:rPr>
      </w:pPr>
    </w:p>
    <w:p w:rsidR="00CC25A2" w:rsidRPr="00636B00" w:rsidRDefault="00CC25A2" w:rsidP="00CC25A2">
      <w:pPr>
        <w:numPr>
          <w:ilvl w:val="0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Με τις διατάξεις του Ν.Δ. 634/70 και Ν.Δ. 1245/72, όπως κωδικοποιήθηκαν σε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ενιαίο κείμενο με το Β.Δ. 306/73, τους Ν. 722/77, Ν. 771/78 και Ν. 1485/84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καθορίστηκαν ρητά οι κατηγορίες</w:t>
      </w:r>
      <w:r w:rsidRPr="00636B00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των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προσώπων που είχαν δικαίωμα να διακινούνται ελεύθερα ή με μειωμένο εισιτήριο στις αστικές ή υπεραστικές μετακινήσεις τους. Το παραπάνω δικαίωμα καθορίστηκε να ισχύει για τα λεωφορεία</w:t>
      </w:r>
      <w:r w:rsidRPr="00636B00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των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συγκοινωνιακών φορέων ΚΤΕΛ, ΗΚΤΕΛ, ΚΤΕΥΛ και ΣΕΚ (σήμερα ΚΤΕΛ, ΟΑΣΑ και ΟΣΕ) καθώς και για τα λεωφορεία του ΟΑΣΘ (Ν.Δ. 3721/57).</w:t>
      </w:r>
    </w:p>
    <w:p w:rsidR="00CC25A2" w:rsidRPr="00636B00" w:rsidRDefault="00CC25A2" w:rsidP="00CC25A2">
      <w:pPr>
        <w:numPr>
          <w:ilvl w:val="0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Με τις υπ' αριθ. 99/1990 και 112/1990 πράξεις του Υπουργικού Συμβουλίου που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εκδόθηκαν, εφάπαξ, κατ' εξουσιοδότηση του άρθρου 64 του Ν. 1892/90, καταργήθηκαν τα πάσης φύσεως ελευθέρας και μειωμένης τιμής εισιτήρια, πλην εκείνοι των κατηγοριών προσώπων που ρητά διατηρήθηκαν με</w:t>
      </w:r>
      <w:r w:rsidRPr="00636B00">
        <w:rPr>
          <w:rStyle w:val="a1"/>
          <w:rFonts w:asciiTheme="minorHAnsi" w:eastAsiaTheme="minorHAnsi" w:hAnsiTheme="minorHAnsi" w:cstheme="minorHAnsi"/>
          <w:sz w:val="22"/>
          <w:szCs w:val="22"/>
        </w:rPr>
        <w:t xml:space="preserve"> τις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ΠΥΣ αυτές</w:t>
      </w:r>
      <w:r w:rsidRPr="00636B00">
        <w:rPr>
          <w:rStyle w:val="a1"/>
          <w:rFonts w:asciiTheme="minorHAnsi" w:eastAsiaTheme="minorHAnsi" w:hAnsiTheme="minorHAnsi" w:cstheme="minorHAnsi"/>
          <w:sz w:val="22"/>
          <w:szCs w:val="22"/>
        </w:rPr>
        <w:t xml:space="preserve"> (ανάπηροι πολέμου και συνοδοί αυτών, πολύτεκνοι, </w:t>
      </w:r>
      <w:proofErr w:type="spellStart"/>
      <w:r w:rsidRPr="00636B00">
        <w:rPr>
          <w:rStyle w:val="a1"/>
          <w:rFonts w:asciiTheme="minorHAnsi" w:eastAsiaTheme="minorHAnsi" w:hAnsiTheme="minorHAnsi" w:cstheme="minorHAnsi"/>
          <w:sz w:val="22"/>
          <w:szCs w:val="22"/>
        </w:rPr>
        <w:t>ΑμεΑ</w:t>
      </w:r>
      <w:proofErr w:type="spellEnd"/>
      <w:r w:rsidRPr="00636B00">
        <w:rPr>
          <w:rStyle w:val="a1"/>
          <w:rFonts w:asciiTheme="minorHAnsi" w:eastAsiaTheme="minorHAnsi" w:hAnsiTheme="minorHAnsi" w:cstheme="minorHAnsi"/>
          <w:sz w:val="22"/>
          <w:szCs w:val="22"/>
        </w:rPr>
        <w:t>, μαθητές, φοιτητές, σπουδαστές, εργαζόμενοι συγκοινωνιακών φορέων).</w:t>
      </w:r>
    </w:p>
    <w:p w:rsidR="00CC25A2" w:rsidRDefault="00CC25A2" w:rsidP="00CC25A2">
      <w:pPr>
        <w:tabs>
          <w:tab w:val="left" w:pos="744"/>
        </w:tabs>
        <w:spacing w:line="240" w:lineRule="auto"/>
        <w:ind w:left="740"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Σημειώνεται ότι:</w:t>
      </w:r>
    </w:p>
    <w:p w:rsidR="00CC25A2" w:rsidRPr="00636B00" w:rsidRDefault="00CC25A2" w:rsidP="00CC25A2">
      <w:pPr>
        <w:numPr>
          <w:ilvl w:val="1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τα </w:t>
      </w:r>
      <w:proofErr w:type="spellStart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ΑμεΑ</w:t>
      </w:r>
      <w:proofErr w:type="spellEnd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διακινούνται με μέριμνα και δαπάνη του Υπουργείου Υγείας κατόπιν</w:t>
      </w:r>
      <w:r w:rsidR="00DD6115"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σύναψης συμφωνιών με τις Ομοσπονδίες ΠΟΑΣ και ΠΟΑΥΣ.</w:t>
      </w:r>
    </w:p>
    <w:p w:rsidR="00CC25A2" w:rsidRPr="00636B00" w:rsidRDefault="00CC25A2" w:rsidP="00CC25A2">
      <w:pPr>
        <w:numPr>
          <w:ilvl w:val="1"/>
          <w:numId w:val="1"/>
        </w:numPr>
        <w:tabs>
          <w:tab w:val="left" w:pos="744"/>
        </w:tabs>
        <w:spacing w:after="180" w:line="240" w:lineRule="auto"/>
        <w:ind w:right="20"/>
        <w:rPr>
          <w:rStyle w:val="a0"/>
          <w:rFonts w:asciiTheme="minorHAnsi" w:eastAsiaTheme="minorHAnsi" w:hAnsiTheme="minorHAnsi" w:cstheme="minorHAnsi"/>
          <w:sz w:val="22"/>
          <w:szCs w:val="22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Με το άρθρο 6 του Ν. 3454/2006 απονέμεται η </w:t>
      </w:r>
      <w:proofErr w:type="spellStart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πολυτεκνική</w:t>
      </w:r>
      <w:proofErr w:type="spellEnd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ιδιότητα και θεωρούνται ανά τριετία, (από 1-1-2007) οι πολυτεχνικές ταυτότητες από την Ανώτατη Συνομοσπονδία Πολυτέκνων Ελλάδος.</w:t>
      </w:r>
    </w:p>
    <w:p w:rsidR="00CC25A2" w:rsidRDefault="00CC25A2" w:rsidP="00CC25A2">
      <w:pPr>
        <w:tabs>
          <w:tab w:val="left" w:pos="744"/>
        </w:tabs>
        <w:spacing w:line="240" w:lineRule="auto"/>
        <w:ind w:left="1460"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Σύμφωνα με τις οριζόμενες προϋποθέσεις του άρθρου αυτού, δικαίωμα διακίνησης με </w:t>
      </w:r>
      <w:bookmarkStart w:id="2" w:name="_GoBack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μειωμένο κατά 50% εισιτήριο θα έχουν οι </w:t>
      </w:r>
      <w:bookmarkEnd w:id="2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παρακάτω:</w:t>
      </w:r>
    </w:p>
    <w:p w:rsidR="00CC25A2" w:rsidRPr="00636B00" w:rsidRDefault="00CC25A2" w:rsidP="00CC25A2">
      <w:pPr>
        <w:numPr>
          <w:ilvl w:val="2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Οι πολύτεκνοι γονείς ισοβίως</w:t>
      </w:r>
    </w:p>
    <w:p w:rsidR="00CC25A2" w:rsidRPr="00636B00" w:rsidRDefault="00CC25A2" w:rsidP="00CC25A2">
      <w:pPr>
        <w:numPr>
          <w:ilvl w:val="2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Τα άγαμα τέκνα (αγόρια και κορίτσια) που δεν έχουν συμπληρώσει το 23° έτος της ηλικίας τους</w:t>
      </w:r>
    </w:p>
    <w:p w:rsidR="00CC25A2" w:rsidRPr="00636B00" w:rsidRDefault="00CC25A2" w:rsidP="00CC25A2">
      <w:pPr>
        <w:numPr>
          <w:ilvl w:val="2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Τα άγαμα τέκνα που σπουδάζουν σε αναγνωρισμένες τριτοβάθμιες σχολές Πανεπιστημιακής και Τεχνολογικής εκπαίδευσης και αναγνωρισμένα εκπαιδευτικά ιδρύματα της ημεδαπής ή της αλλοδαπής και δεν έχουν συμπληρώσει το</w:t>
      </w:r>
      <w:r w:rsidRPr="00636B00">
        <w:rPr>
          <w:rStyle w:val="105075"/>
          <w:rFonts w:asciiTheme="minorHAnsi" w:eastAsiaTheme="minorHAnsi" w:hAnsiTheme="minorHAnsi" w:cstheme="minorHAnsi"/>
          <w:i w:val="0"/>
          <w:sz w:val="22"/>
          <w:szCs w:val="22"/>
        </w:rPr>
        <w:t xml:space="preserve"> </w:t>
      </w:r>
      <w:r w:rsidRPr="00636B00">
        <w:rPr>
          <w:rStyle w:val="105075"/>
          <w:rFonts w:asciiTheme="minorHAnsi" w:eastAsiaTheme="minorHAnsi" w:hAnsiTheme="minorHAnsi" w:cstheme="minorHAnsi"/>
          <w:b w:val="0"/>
          <w:i w:val="0"/>
          <w:sz w:val="22"/>
          <w:szCs w:val="22"/>
        </w:rPr>
        <w:t>25</w:t>
      </w:r>
      <w:r w:rsidRPr="00636B00">
        <w:rPr>
          <w:rStyle w:val="105075"/>
          <w:rFonts w:asciiTheme="minorHAnsi" w:eastAsiaTheme="minorHAnsi" w:hAnsiTheme="minorHAnsi" w:cstheme="minorHAnsi"/>
          <w:i w:val="0"/>
          <w:sz w:val="22"/>
          <w:szCs w:val="22"/>
        </w:rPr>
        <w:t>°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έτος της ηλικίας τους</w:t>
      </w:r>
    </w:p>
    <w:p w:rsidR="00CC25A2" w:rsidRPr="00636B00" w:rsidRDefault="00CC25A2" w:rsidP="00CC25A2">
      <w:pPr>
        <w:numPr>
          <w:ilvl w:val="2"/>
          <w:numId w:val="1"/>
        </w:numPr>
        <w:tabs>
          <w:tab w:val="left" w:pos="744"/>
        </w:tabs>
        <w:spacing w:after="180" w:line="240" w:lineRule="auto"/>
        <w:ind w:right="20"/>
        <w:rPr>
          <w:rFonts w:cstheme="minorHAnsi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Τα άγαμα τέκνα που εκπληρώνουν τις στρατιωτικές τους υποχρεώσεις και δεν έχουν συμπληρώσει το 25° έτος της ηλικίας τους και</w:t>
      </w:r>
    </w:p>
    <w:p w:rsidR="00CC25A2" w:rsidRPr="00CC25A2" w:rsidRDefault="00CC25A2" w:rsidP="00CC25A2">
      <w:pPr>
        <w:numPr>
          <w:ilvl w:val="2"/>
          <w:numId w:val="1"/>
        </w:numPr>
        <w:tabs>
          <w:tab w:val="left" w:pos="744"/>
        </w:tabs>
        <w:spacing w:after="180" w:line="240" w:lineRule="auto"/>
        <w:ind w:right="20"/>
        <w:rPr>
          <w:rStyle w:val="a0"/>
          <w:rFonts w:asciiTheme="minorHAnsi" w:eastAsiaTheme="minorHAnsi" w:hAnsiTheme="minorHAnsi" w:cstheme="minorHAnsi"/>
          <w:sz w:val="22"/>
          <w:szCs w:val="22"/>
          <w:lang w:val="el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Τα τέκνα με οποιαδήποτε αναπηρία σε ποσοστό 67 % και άνω, ισοβίως και</w:t>
      </w:r>
    </w:p>
    <w:p w:rsidR="00CC25A2" w:rsidRPr="00CC25A2" w:rsidRDefault="00CC25A2" w:rsidP="00CC25A2">
      <w:pPr>
        <w:numPr>
          <w:ilvl w:val="1"/>
          <w:numId w:val="1"/>
        </w:numPr>
        <w:tabs>
          <w:tab w:val="left" w:pos="744"/>
        </w:tabs>
        <w:spacing w:after="180" w:line="240" w:lineRule="auto"/>
        <w:ind w:right="20"/>
        <w:rPr>
          <w:rStyle w:val="2"/>
          <w:rFonts w:asciiTheme="minorHAnsi" w:eastAsiaTheme="minorHAnsi" w:hAnsiTheme="minorHAnsi" w:cstheme="minorHAnsi"/>
          <w:spacing w:val="2"/>
          <w:sz w:val="22"/>
          <w:szCs w:val="22"/>
          <w:lang w:val="el"/>
        </w:rPr>
      </w:pPr>
      <w:r w:rsidRPr="00636B00">
        <w:rPr>
          <w:rStyle w:val="2"/>
          <w:rFonts w:asciiTheme="minorHAnsi" w:eastAsiaTheme="minorHAnsi" w:hAnsiTheme="minorHAnsi" w:cstheme="minorHAnsi"/>
          <w:sz w:val="22"/>
          <w:szCs w:val="22"/>
          <w:lang w:val="en-US"/>
        </w:rPr>
        <w:t>M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ε τις ανωτέρω ΠΥΣ δεν θίγεται το δικαίωμα ελεύθερης διακίνησης των</w:t>
      </w:r>
      <w:r w:rsidR="0032761B" w:rsidRPr="0032761B">
        <w:rPr>
          <w:rStyle w:val="21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2761B"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Ευρωβουλευτών και Βουλευτών του Ελληνικού Κοινοβουλίου (άρθρο 63</w:t>
      </w:r>
      <w:r w:rsidR="0032761B"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br/>
        <w:t>Συντάγματος</w:t>
      </w:r>
      <w:r w:rsidR="0032761B">
        <w:rPr>
          <w:rStyle w:val="2"/>
          <w:rFonts w:asciiTheme="minorHAnsi" w:eastAsiaTheme="minorHAnsi" w:hAnsiTheme="minorHAnsi" w:cstheme="minorHAnsi"/>
          <w:sz w:val="22"/>
          <w:szCs w:val="22"/>
        </w:rPr>
        <w:t>)</w:t>
      </w:r>
    </w:p>
    <w:p w:rsidR="00CC25A2" w:rsidRPr="00636B00" w:rsidRDefault="00CC25A2" w:rsidP="00CC25A2">
      <w:pPr>
        <w:numPr>
          <w:ilvl w:val="0"/>
          <w:numId w:val="1"/>
        </w:numPr>
        <w:tabs>
          <w:tab w:val="left" w:pos="744"/>
        </w:tabs>
        <w:spacing w:after="120" w:line="240" w:lineRule="auto"/>
        <w:ind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lastRenderedPageBreak/>
        <w:t>Με το Ν. 2018/1992 όπως τροποποιήθηκα μεταγενέστερα ρυθμίστηκε το θέμα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της ελεύθερης διακίνησης του Αστυνομικού και Πυροσβεστικού Προσωπικού, των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Αρχιφυλάκων, Αγροφυλάκων, των Συνοριακών Φυλάκων και των Ειδικών Φρουρών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κατά τις μετακινήσεις τους για εκτέλεση υπηρεσίας, με δαπάνη του Υπουργείου </w:t>
      </w:r>
      <w:proofErr w:type="spellStart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Δημ</w:t>
      </w:r>
      <w:proofErr w:type="spellEnd"/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.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Τάξης.</w:t>
      </w:r>
    </w:p>
    <w:p w:rsidR="00CC25A2" w:rsidRPr="00636B00" w:rsidRDefault="00CC25A2" w:rsidP="00CC25A2">
      <w:pPr>
        <w:numPr>
          <w:ilvl w:val="0"/>
          <w:numId w:val="1"/>
        </w:numPr>
        <w:tabs>
          <w:tab w:val="left" w:pos="744"/>
        </w:tabs>
        <w:spacing w:after="123" w:line="240" w:lineRule="auto"/>
        <w:ind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Με το Ν. 2329/1.995 ρυθμίστηκε επίσης </w:t>
      </w:r>
      <w:r w:rsidR="00652936">
        <w:rPr>
          <w:rStyle w:val="a0"/>
          <w:rFonts w:asciiTheme="minorHAnsi" w:eastAsiaTheme="minorHAnsi" w:hAnsiTheme="minorHAnsi" w:cstheme="minorHAnsi"/>
          <w:sz w:val="22"/>
          <w:szCs w:val="22"/>
        </w:rPr>
        <w:t>τ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  <w:lang w:val="en-US"/>
        </w:rPr>
        <w:t>o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θέμα της ελεύθερης κυκλοφορίας του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Προσωπικού του Λιμενικού Σώματος κατά τις μετακινήσεις τους για εκτέλεση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υπηρεσίας με δαπάνη του Υπουργείου Εμπορικής Ναυτιλίας.</w:t>
      </w:r>
    </w:p>
    <w:p w:rsidR="00CC25A2" w:rsidRPr="00636B00" w:rsidRDefault="00CC25A2" w:rsidP="00CC25A2">
      <w:pPr>
        <w:numPr>
          <w:ilvl w:val="0"/>
          <w:numId w:val="1"/>
        </w:numPr>
        <w:tabs>
          <w:tab w:val="left" w:pos="726"/>
        </w:tabs>
        <w:spacing w:after="114" w:line="240" w:lineRule="auto"/>
        <w:ind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Με το Ν. 3585/2007 ρυθμίστηκε εκ νέου το θέμα της ελεύθερης κυκλοφορίας του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Προσωπικού της Αγροφυλακής κατά τις μετακινήσεις τους για εκτέλεση υπηρεσίας με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δαπάνη του Υπουργείου Δημόσιας Τάξης,</w:t>
      </w:r>
    </w:p>
    <w:p w:rsidR="00CC25A2" w:rsidRPr="00CC25A2" w:rsidRDefault="00CC25A2" w:rsidP="00CC25A2">
      <w:pPr>
        <w:numPr>
          <w:ilvl w:val="0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Με το Ν. 3670/2008 τα δικαιώματα ελεύθερης</w:t>
      </w:r>
      <w:r w:rsidRPr="00636B00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ή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με μειωμένο</w:t>
      </w:r>
      <w:r w:rsidRPr="00636B00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εισιτήριο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των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αναπτήρων πολέμου επεκτάθηκαν και στ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>ις παρακάτω κατηγορίες προσώπων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:</w:t>
      </w:r>
    </w:p>
    <w:p w:rsidR="00CC25A2" w:rsidRPr="00CC25A2" w:rsidRDefault="00CC25A2" w:rsidP="00CC25A2">
      <w:pPr>
        <w:numPr>
          <w:ilvl w:val="1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Στους στρατιωτικούς αναπήρους ειρηνικής περιόδου του Ν. 1370/1944.</w:t>
      </w:r>
    </w:p>
    <w:p w:rsidR="00CC25A2" w:rsidRPr="00CC25A2" w:rsidRDefault="00CC25A2" w:rsidP="00CC25A2">
      <w:pPr>
        <w:numPr>
          <w:ilvl w:val="1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Στους αναπήρους αγωνιστές Αντιδικτατορικού Αγώνα του Ν.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1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543/1985.</w:t>
      </w:r>
    </w:p>
    <w:p w:rsidR="00CC25A2" w:rsidRPr="00CC25A2" w:rsidRDefault="00CC25A2" w:rsidP="00CC25A2">
      <w:pPr>
        <w:numPr>
          <w:ilvl w:val="1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Στους αναπήρους αγωνιστές του Δημοκρατικού Στρατού του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>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.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1863/1989.</w:t>
      </w:r>
    </w:p>
    <w:p w:rsidR="00CC25A2" w:rsidRPr="00CC25A2" w:rsidRDefault="00CC25A2" w:rsidP="00CC25A2">
      <w:pPr>
        <w:numPr>
          <w:ilvl w:val="1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Στους αναπήρους πολέμου αμάχου πληθυσμού του Ν.812/1943 (περιόδου 1940-1949).</w:t>
      </w:r>
    </w:p>
    <w:p w:rsidR="00CC25A2" w:rsidRDefault="00CC25A2" w:rsidP="00CC25A2">
      <w:pPr>
        <w:numPr>
          <w:ilvl w:val="1"/>
          <w:numId w:val="1"/>
        </w:numPr>
        <w:tabs>
          <w:tab w:val="left" w:pos="726"/>
        </w:tabs>
        <w:spacing w:after="0" w:line="240" w:lineRule="auto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Στους αναπήρους αμάχου πληθυσμού του Ν. 1863/1989, καθώς και στους έλκοντες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δικαίωμα από τους παραπάνω αναπήρους.</w:t>
      </w:r>
    </w:p>
    <w:p w:rsidR="00CC25A2" w:rsidRDefault="00CC25A2" w:rsidP="00CC25A2">
      <w:pPr>
        <w:tabs>
          <w:tab w:val="left" w:pos="726"/>
        </w:tabs>
        <w:spacing w:after="0" w:line="240" w:lineRule="auto"/>
        <w:ind w:left="720" w:right="20"/>
        <w:rPr>
          <w:rStyle w:val="a0"/>
          <w:rFonts w:asciiTheme="minorHAnsi" w:eastAsiaTheme="minorHAnsi" w:hAnsiTheme="minorHAnsi" w:cstheme="minorHAnsi"/>
          <w:sz w:val="22"/>
          <w:szCs w:val="22"/>
        </w:rPr>
      </w:pPr>
    </w:p>
    <w:p w:rsidR="00CC25A2" w:rsidRDefault="00CC25A2" w:rsidP="00CC25A2">
      <w:pPr>
        <w:tabs>
          <w:tab w:val="left" w:pos="726"/>
        </w:tabs>
        <w:spacing w:after="0" w:line="240" w:lineRule="auto"/>
        <w:ind w:left="720"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Σημείωση</w:t>
      </w:r>
    </w:p>
    <w:p w:rsidR="00CC25A2" w:rsidRDefault="00CC25A2" w:rsidP="00CC25A2">
      <w:pPr>
        <w:tabs>
          <w:tab w:val="left" w:pos="726"/>
        </w:tabs>
        <w:spacing w:after="0" w:line="240" w:lineRule="auto"/>
        <w:ind w:left="720" w:right="20"/>
        <w:rPr>
          <w:rStyle w:val="2"/>
          <w:rFonts w:asciiTheme="minorHAnsi" w:eastAsiaTheme="minorHAnsi" w:hAnsiTheme="minorHAnsi" w:cstheme="minorHAnsi"/>
          <w:b/>
          <w:sz w:val="22"/>
          <w:szCs w:val="22"/>
        </w:rPr>
      </w:pP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Προκειμένου οι κατηγορίες της παραγράφου αυτής (6) να διακινούνται</w:t>
      </w:r>
      <w:r w:rsidRPr="00CC25A2">
        <w:rPr>
          <w:rStyle w:val="211"/>
          <w:rFonts w:asciiTheme="minorHAnsi" w:eastAsiaTheme="minorHAnsi" w:hAnsiTheme="minorHAnsi" w:cstheme="minorHAnsi"/>
          <w:b/>
        </w:rPr>
        <w:t xml:space="preserve"> δωρεάν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στις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αστικές συγκοινωνίες και με μισό εισιτήριο στις υπεραστικές, η Ομοσπονδία 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μας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ζήτησε από το Υπουργείο Εθνικής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Άμυνας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την εφαρμογή των διατάξεων της 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παρ.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10 του άρθρου 17 του Ν.3534/2007 για αποζημίωση</w:t>
      </w:r>
      <w:r w:rsidRPr="00CC25A2">
        <w:rPr>
          <w:rStyle w:val="211"/>
          <w:rFonts w:asciiTheme="minorHAnsi" w:eastAsiaTheme="minorHAnsi" w:hAnsiTheme="minorHAnsi" w:cstheme="minorHAnsi"/>
          <w:b/>
        </w:rPr>
        <w:t xml:space="preserve"> των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μετακινήσεων. Μέχρις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εκδόσεως της προβλεπόμενης ΚΥΑ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  <w:lang w:val="en-US"/>
        </w:rPr>
        <w:t>to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δικαίωμα των ανωτέρω παροχών θα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χορηγείται μόνο στους ανάπηρους πολέμου και στους</w:t>
      </w:r>
      <w:r w:rsidRPr="00CC25A2">
        <w:rPr>
          <w:rStyle w:val="211"/>
          <w:rFonts w:asciiTheme="minorHAnsi" w:eastAsiaTheme="minorHAnsi" w:hAnsiTheme="minorHAnsi" w:cstheme="minorHAnsi"/>
          <w:b/>
        </w:rPr>
        <w:t xml:space="preserve"> συνοδούς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 αυτ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 xml:space="preserve">ών, σύμφωνα με </w:t>
      </w:r>
      <w:r w:rsidR="00EC77F6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την Π</w:t>
      </w:r>
      <w:r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ΥΣ 99/1990</w:t>
      </w: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.</w:t>
      </w:r>
    </w:p>
    <w:p w:rsidR="00CC25A2" w:rsidRPr="00CC25A2" w:rsidRDefault="00CC25A2" w:rsidP="00CC25A2">
      <w:pPr>
        <w:tabs>
          <w:tab w:val="left" w:pos="726"/>
        </w:tabs>
        <w:spacing w:after="0" w:line="240" w:lineRule="auto"/>
        <w:ind w:left="720" w:right="20"/>
        <w:rPr>
          <w:rStyle w:val="2"/>
          <w:rFonts w:asciiTheme="minorHAnsi" w:eastAsiaTheme="minorHAnsi" w:hAnsiTheme="minorHAnsi" w:cstheme="minorHAnsi"/>
          <w:spacing w:val="0"/>
          <w:sz w:val="22"/>
          <w:szCs w:val="22"/>
        </w:rPr>
      </w:pPr>
    </w:p>
    <w:p w:rsidR="00CC25A2" w:rsidRPr="00CC25A2" w:rsidRDefault="00CC25A2" w:rsidP="00CC25A2">
      <w:pPr>
        <w:numPr>
          <w:ilvl w:val="0"/>
          <w:numId w:val="1"/>
        </w:numPr>
        <w:tabs>
          <w:tab w:val="left" w:pos="733"/>
        </w:tabs>
        <w:spacing w:after="165" w:line="240" w:lineRule="auto"/>
        <w:rPr>
          <w:rFonts w:cstheme="minorHAnsi"/>
          <w:b/>
          <w:u w:val="single"/>
        </w:rPr>
      </w:pP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  <w:u w:val="single"/>
        </w:rPr>
        <w:t>ΦΟΙΤΗΤΙΚΑ – ΜΑΘΗΤΙΚΑ</w:t>
      </w:r>
    </w:p>
    <w:p w:rsidR="00CC25A2" w:rsidRPr="00CC25A2" w:rsidRDefault="00CC25A2" w:rsidP="00CC25A2">
      <w:pPr>
        <w:tabs>
          <w:tab w:val="left" w:pos="733"/>
        </w:tabs>
        <w:spacing w:after="165" w:line="240" w:lineRule="auto"/>
        <w:ind w:left="74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Οι σχετικές διατάξεις που καθορίζουν τις κατηγορίες των φοιτητών σπουδαστών και των </w:t>
      </w:r>
      <w:r w:rsidRPr="00CC25A2">
        <w:rPr>
          <w:rStyle w:val="11"/>
          <w:rFonts w:asciiTheme="minorHAnsi" w:eastAsiaTheme="minorHAnsi" w:hAnsiTheme="minorHAnsi" w:cstheme="minorHAnsi"/>
          <w:sz w:val="22"/>
          <w:szCs w:val="22"/>
        </w:rPr>
        <w:t>μαθητών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που δικαιούνται να διακινούνται στις αστικές και υπεραστικές συγκοινωνίες με έκπτωση 25% ή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>50</w:t>
      </w:r>
      <w:r w:rsidRPr="00CC25A2">
        <w:rPr>
          <w:rStyle w:val="21"/>
          <w:rFonts w:asciiTheme="minorHAnsi" w:eastAsiaTheme="minorHAnsi" w:hAnsiTheme="minorHAnsi" w:cstheme="minorHAnsi"/>
          <w:sz w:val="22"/>
          <w:szCs w:val="22"/>
        </w:rPr>
        <w:t>%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αντίστοιχα, είναι η ΠΥΣ 99/1990 σε συνδυασμό με το Β.Δ. 306/73, το Π.Δ. 265/85 και</w:t>
      </w:r>
      <w:r w:rsidRPr="00CC25A2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την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αριθ. 156422/69 καν. Υπουργική απόφαση, όπως τροποποιήθηκε και συμπληρώθηκε μεταγενέστερα.</w:t>
      </w:r>
    </w:p>
    <w:p w:rsidR="00CC25A2" w:rsidRDefault="00CC25A2" w:rsidP="00CC25A2">
      <w:pPr>
        <w:tabs>
          <w:tab w:val="left" w:pos="733"/>
        </w:tabs>
        <w:spacing w:after="165" w:line="240" w:lineRule="auto"/>
        <w:ind w:left="740"/>
        <w:rPr>
          <w:rFonts w:cstheme="minorHAnsi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Αναλυτικότερα οι κατηγορίες των δικαιούχων είναι οι εξής:</w:t>
      </w:r>
    </w:p>
    <w:p w:rsidR="00CC25A2" w:rsidRPr="00CC25A2" w:rsidRDefault="00CC25A2" w:rsidP="00CC25A2">
      <w:pPr>
        <w:pStyle w:val="ListParagraph"/>
        <w:numPr>
          <w:ilvl w:val="1"/>
          <w:numId w:val="3"/>
        </w:numPr>
        <w:tabs>
          <w:tab w:val="left" w:pos="733"/>
        </w:tabs>
        <w:spacing w:after="165" w:line="240" w:lineRule="auto"/>
        <w:rPr>
          <w:rStyle w:val="2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Φοιτητές – σπουδαστές (έκπτωση 25%)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φοιτητές των ΑΕΙ και οι σπουδαστές των ΤΕΙ και του Κέντρου Μεταφράσεως και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Διερμηνείας (ΚΕ.ΜΕ.ΛΙ.) καθώς και οι απόφοιτοι λυκείου που παρακολουθούν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σεμινάρια επιμόρφωσης (Π.Δ</w:t>
      </w:r>
      <w:r w:rsidR="004062FE">
        <w:rPr>
          <w:rStyle w:val="a0"/>
          <w:rFonts w:asciiTheme="minorHAnsi" w:eastAsiaTheme="minorHAnsi" w:hAnsiTheme="minorHAnsi" w:cstheme="minorHAnsi"/>
          <w:sz w:val="22"/>
          <w:szCs w:val="22"/>
        </w:rPr>
        <w:t>.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265/85)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spacing w:after="159" w:line="210" w:lineRule="exact"/>
        <w:ind w:right="2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σπουδαστές των Δημοσίων σχολών Ανωτέρας εκπαίδευσης,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spacing w:after="235" w:line="279" w:lineRule="exact"/>
        <w:ind w:right="40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σπουδαστές των Ιδιωτικών Σχολών Ανωτέρας Εκπαίδευσης που είναι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αναγνωρισμένες από το κράτος ως ισότιμες προς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τις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αντίστοιχες δημόσιες.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spacing w:after="154" w:line="210" w:lineRule="exact"/>
        <w:rPr>
          <w:rFonts w:cstheme="minorHAnsi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σπουδαστές των ανωτέρω σχολών καλλιτεχνικής εκπαίδευσης (Ν.1158/1981).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spacing w:after="232" w:line="275" w:lineRule="exact"/>
        <w:ind w:right="40"/>
        <w:rPr>
          <w:rFonts w:cstheme="minorHAnsi"/>
        </w:rPr>
      </w:pPr>
      <w:r w:rsidRPr="00CC25A2">
        <w:rPr>
          <w:rStyle w:val="2"/>
          <w:rFonts w:asciiTheme="minorHAnsi" w:eastAsiaTheme="minorHAnsi" w:hAnsiTheme="minorHAnsi" w:cstheme="minorHAnsi"/>
          <w:sz w:val="22"/>
          <w:szCs w:val="22"/>
        </w:rPr>
        <w:lastRenderedPageBreak/>
        <w:t>Η παραπάνω έκπτωση ισχύει για όλες τις γραμμές των ΚΤΕΛ της χώρας, με την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sz w:val="22"/>
          <w:szCs w:val="22"/>
        </w:rPr>
        <w:t>επίδειξη του Φοιτητικού Δελτίου Ειδικού Εισιτηρίου (Δ.Ε.Ε.), ο τύπος και ο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sz w:val="22"/>
          <w:szCs w:val="22"/>
        </w:rPr>
        <w:t>χρωματισμός του οποίου καθορίζεται κάθε φορά από το Υπουργείο Μεταφορών και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2"/>
          <w:rFonts w:asciiTheme="minorHAnsi" w:eastAsiaTheme="minorHAnsi" w:hAnsiTheme="minorHAnsi" w:cstheme="minorHAnsi"/>
          <w:sz w:val="22"/>
          <w:szCs w:val="22"/>
        </w:rPr>
        <w:t>Επικοινωνιών.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br/>
      </w:r>
    </w:p>
    <w:p w:rsidR="00CC25A2" w:rsidRPr="00CC25A2" w:rsidRDefault="00CC25A2" w:rsidP="00CC25A2">
      <w:pPr>
        <w:pStyle w:val="ListParagraph"/>
        <w:numPr>
          <w:ilvl w:val="1"/>
          <w:numId w:val="3"/>
        </w:numPr>
        <w:tabs>
          <w:tab w:val="left" w:pos="733"/>
        </w:tabs>
        <w:spacing w:after="165" w:line="240" w:lineRule="auto"/>
        <w:rPr>
          <w:rStyle w:val="2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Μαθητές (έκπτωση 50%).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Οι μαθητές των δημοσίων σχολείων πρωτοβάθμιας και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>δ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ευτεροβάθμιας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εκπαίδευσης.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Δημοσίων και των αναγνωρισμένων από το Κράτος Ιδιωτικών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Σχολών Τεχνικής και Επαγγελματικής εκπαίδευσης</w:t>
      </w:r>
      <w:r w:rsidRPr="00CC25A2">
        <w:rPr>
          <w:rStyle w:val="9"/>
          <w:rFonts w:asciiTheme="minorHAnsi" w:eastAsiaTheme="minorHAnsi" w:hAnsiTheme="minorHAnsi" w:cstheme="minorHAnsi"/>
          <w:sz w:val="22"/>
          <w:szCs w:val="22"/>
        </w:rPr>
        <w:t xml:space="preserve"> (μέσης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και κατώτερης).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ιδιωτικών σχολείων πρωτοβάθμιας και δευτεροβάθμιας εκπαίδευσης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εφόσον στην πόλη δεν λειτουργούν αντίστοιχα δημόσια.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ιεροσπουδαστές των εξαταξίων εκκλησιαστικών σχολών και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br/>
        <w:t>ιεροδιδασκαλείων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σχολών μαθητείας ΟΑΕΔ και των Κ.Ε.Κ, (Κέντρων Εργαζομένου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Κοριτσιού) του Οργανισμού Εργατικής Εστίας.</w:t>
      </w:r>
    </w:p>
    <w:p w:rsidR="00CC25A2" w:rsidRPr="00CC25A2" w:rsidRDefault="00CC25A2" w:rsidP="00CC25A2">
      <w:pPr>
        <w:pStyle w:val="ListParagraph"/>
        <w:numPr>
          <w:ilvl w:val="2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Οι μαθητές των σχολών ειδικής </w:t>
      </w:r>
      <w:proofErr w:type="spellStart"/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αγωγής.</w:t>
      </w:r>
      <w:proofErr w:type="spellEnd"/>
    </w:p>
    <w:p w:rsidR="00CC25A2" w:rsidRDefault="00CC25A2" w:rsidP="00CC25A2">
      <w:pPr>
        <w:tabs>
          <w:tab w:val="left" w:pos="733"/>
        </w:tabs>
        <w:spacing w:after="165" w:line="240" w:lineRule="auto"/>
        <w:ind w:left="1440"/>
        <w:rPr>
          <w:rFonts w:cstheme="minorHAnsi"/>
          <w:b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Όλοι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οι μαθητές των σχολών ή σχολείων που υπάγονται στις παραπάνω βαθμίδες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εκπαίδευσης ανεξάρτητα από το Υπουργείο στο οποίο ανήκουν, δικαιούνται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της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προαναφερόμενης έκπτωσης, όπως ειδικότερα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καθορίζουν οι προαναφερόμενες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διατάξεις, με την επίδειξη του δελτίου μαθητικού εισιτηρίου, ο τύπος και ο χρωματισμός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των οποίων καθορίζεται κάθε φορά από το Υπουργείο Μεταφορών και Επικοινωνιών.</w:t>
      </w:r>
    </w:p>
    <w:p w:rsidR="00DD6115" w:rsidRPr="007B518F" w:rsidRDefault="00CC25A2" w:rsidP="007B518F">
      <w:pPr>
        <w:tabs>
          <w:tab w:val="left" w:pos="733"/>
        </w:tabs>
        <w:spacing w:after="165" w:line="240" w:lineRule="auto"/>
        <w:ind w:left="1440"/>
        <w:rPr>
          <w:rFonts w:cstheme="minorHAnsi"/>
          <w:spacing w:val="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Η έκδοση των μαθητικών δελτίων πραγματοποιείται από τους Διευθυντές των οικείων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σχολείων ή σχολών. Τα δελτία αυτά ισχύουν χωρίς θεώρηση σύμφωνα με την υπουργική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απόφαση 31114/535/1983 παρ. 3 (Β' 664/83),</w:t>
      </w:r>
    </w:p>
    <w:p w:rsidR="00CC25A2" w:rsidRDefault="00CC25A2" w:rsidP="00CC25A2">
      <w:pPr>
        <w:tabs>
          <w:tab w:val="left" w:pos="733"/>
        </w:tabs>
        <w:spacing w:after="165" w:line="240" w:lineRule="auto"/>
        <w:ind w:left="1440"/>
        <w:rPr>
          <w:rFonts w:cstheme="minorHAnsi"/>
          <w:b/>
        </w:rPr>
      </w:pPr>
      <w:r w:rsidRPr="00CC25A2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ΙΣΧΥΣ ΜΑΘΗΤΙΚΩΝ ΕΙΣΙΤΗΡΙΩΝ</w:t>
      </w:r>
    </w:p>
    <w:p w:rsidR="00CC25A2" w:rsidRDefault="00CC25A2" w:rsidP="00CC25A2">
      <w:pPr>
        <w:tabs>
          <w:tab w:val="left" w:pos="733"/>
        </w:tabs>
        <w:spacing w:after="165" w:line="240" w:lineRule="auto"/>
        <w:ind w:left="1440"/>
        <w:rPr>
          <w:rFonts w:cstheme="minorHAnsi"/>
          <w:b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Τα μαθητικά εισιτήρια ισχύουν για όσες αστικές γραμμές συνδέουν τον τόπο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της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διαμονής του μαθητή με το σχολείο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  <w:vertAlign w:val="subscript"/>
        </w:rPr>
        <w:t>3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στο οποίο φοιτά και για μία υπεραστική, που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συνδέει τον τόπο της κατοικίας του με την πόλη όπου βρίσκεται η έδρα του σχολείου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που φοιτά, χωρίς κανένα άλλο περιορισμό ως προς τον αριθμό των πραγματοποιούμενων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κάθε μέρα μετακινήσεων,</w:t>
      </w:r>
    </w:p>
    <w:p w:rsidR="00CC25A2" w:rsidRDefault="00CC25A2" w:rsidP="00CC25A2">
      <w:pPr>
        <w:tabs>
          <w:tab w:val="left" w:pos="733"/>
        </w:tabs>
        <w:spacing w:after="165" w:line="240" w:lineRule="auto"/>
        <w:ind w:left="1440"/>
        <w:rPr>
          <w:rFonts w:cstheme="minorHAnsi"/>
          <w:b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Τα μαθητικά εισιτήρια ισχύουν μόνο κατά τη διάρκεια της σχολικής περιόδου, 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όπως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αυτή καθορίζεται από τα αρμόδια κατά περίπτωση Υπουργεία, πλην Κυριακών και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επίσημων εορτών. Τα εκδιδόμενα εισιτήρια για τις υπεραστικές γραμμές ισχύουν και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κατά τις ανωτέρω αργίες.</w:t>
      </w:r>
    </w:p>
    <w:p w:rsidR="00DD6115" w:rsidRPr="00DD6115" w:rsidRDefault="00CC25A2" w:rsidP="00DD6115">
      <w:pPr>
        <w:tabs>
          <w:tab w:val="left" w:pos="733"/>
        </w:tabs>
        <w:spacing w:after="165" w:line="240" w:lineRule="auto"/>
        <w:ind w:left="1440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CC25A2">
        <w:rPr>
          <w:rStyle w:val="a0"/>
          <w:rFonts w:asciiTheme="minorHAnsi" w:eastAsiaTheme="minorHAnsi" w:hAnsiTheme="minorHAnsi" w:cstheme="minorHAnsi"/>
          <w:sz w:val="22"/>
          <w:szCs w:val="22"/>
        </w:rPr>
        <w:t>Κατ' εξαίρεση</w:t>
      </w:r>
      <w:r>
        <w:rPr>
          <w:rStyle w:val="a0"/>
          <w:rFonts w:asciiTheme="minorHAnsi" w:eastAsiaTheme="minorHAnsi" w:hAnsiTheme="minorHAnsi" w:cstheme="minorHAnsi"/>
          <w:sz w:val="22"/>
          <w:szCs w:val="22"/>
        </w:rPr>
        <w:t>: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τεχνικών και επαγγελματικών Σχολών και Λυκείων διακινούνται σε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όλες τις αστικές λεωφορειακές γραμμές της περιοχής, όπου η έδρα της Σχολής που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φοιτούν, όλες τις ημέρες της εβδομάδας και τις αργίες. Επί των δελτίων των μαθητών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αυτών τίθεται σφραγίδα με την ανωτέρω ένδειξη.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lastRenderedPageBreak/>
        <w:t>Οι μαθήτριες του 2ου κύκλου σπουδών (Μαΐου - Οκτωβρίου) της Ταχύρυθμης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Εκπαίδευσης της Σχολής Επιμορφώσεως Εμποροϋπαλλήλων διακινούνται και κατά τη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θερινή περίοδο.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της Σχολής</w:t>
      </w:r>
      <w:r w:rsidRPr="00DD6115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Εργοδηγών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- Μηχανολόγων - Ηλεκτρολόγων</w:t>
      </w:r>
      <w:r w:rsidRPr="00DD6115">
        <w:rPr>
          <w:rStyle w:val="11"/>
          <w:rFonts w:asciiTheme="minorHAnsi" w:eastAsiaTheme="minorHAnsi" w:hAnsiTheme="minorHAnsi" w:cstheme="minorHAnsi"/>
          <w:sz w:val="22"/>
          <w:szCs w:val="22"/>
        </w:rPr>
        <w:t xml:space="preserve"> ΣΕΛΕΤΕ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και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τους μήνες Ιούλιο και Αύγουστο,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μαθήτριες των Κέντρων Εργαζομένου Κοριτσιού όλο το έτος.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Δημοσίων σχολείων</w:t>
      </w:r>
      <w:r w:rsidRPr="00DD6115">
        <w:rPr>
          <w:rStyle w:val="a2"/>
          <w:rFonts w:asciiTheme="minorHAnsi" w:eastAsiaTheme="minorHAnsi" w:hAnsiTheme="minorHAnsi" w:cstheme="minorHAnsi"/>
          <w:i w:val="0"/>
          <w:sz w:val="22"/>
          <w:szCs w:val="22"/>
        </w:rPr>
        <w:t xml:space="preserve"> Εμπορικού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Ναυτικού μέχρι τις 15 Αυγούστου,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Τις Κυριακές και λοιπές αργίες.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μαθήτριες σχολών βοηθών νοσοκόμων και οι μαθητές των Δημοσίων Τεχνικών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σχολών βοηθών Εργοδηγών όλο το έτος και Κυριακές και λοιπές αργίες,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εκπαιδευτικών μονάδων μαθητείας του ΟΑΕΔ σε όλες τις αστικές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λεωφορειακές γραμμές της περιοχής όπου η έδρα της σχολής που φοιτούν για όλο το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έτος συμπεριλαμβανομένων των Κυριακών και αργιών.</w:t>
      </w:r>
    </w:p>
    <w:p w:rsidR="00DD6115" w:rsidRPr="00DD6115" w:rsidRDefault="00DD6115" w:rsidP="00DD6115">
      <w:pPr>
        <w:pStyle w:val="ListParagraph"/>
        <w:numPr>
          <w:ilvl w:val="0"/>
          <w:numId w:val="4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των δημοσίων και ιδιωτικών νυκτερινών σχολείων σε όλες τις αστικές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γραμμές της περιοχής όπου η έδρα του σχολείου που φοιτούν.</w:t>
      </w:r>
    </w:p>
    <w:p w:rsidR="00CC25A2" w:rsidRPr="00DD6115" w:rsidRDefault="00DD6115" w:rsidP="00DD6115">
      <w:pPr>
        <w:tabs>
          <w:tab w:val="left" w:pos="733"/>
        </w:tabs>
        <w:spacing w:after="165" w:line="240" w:lineRule="auto"/>
        <w:ind w:left="2360"/>
        <w:rPr>
          <w:rFonts w:cstheme="minorHAnsi"/>
          <w:b/>
        </w:rPr>
      </w:pP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(Αποφάσεις Υπουργού Συγκοινωνιών Γ. 156422/1969, Δ.3897/1972,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Γ.30433/1884/1974,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Γ.37393/2371/1974, Γ.2500/201/1975, Γ.4852/350/1975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και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>36898/1395/1982).</w:t>
      </w:r>
    </w:p>
    <w:p w:rsidR="00DD6115" w:rsidRPr="00DD6115" w:rsidRDefault="00DD6115" w:rsidP="00DD6115">
      <w:pPr>
        <w:pStyle w:val="ListParagraph"/>
        <w:numPr>
          <w:ilvl w:val="1"/>
          <w:numId w:val="3"/>
        </w:numPr>
        <w:tabs>
          <w:tab w:val="left" w:pos="733"/>
        </w:tabs>
        <w:spacing w:after="165" w:line="240" w:lineRule="auto"/>
        <w:rPr>
          <w:rStyle w:val="2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23"/>
          <w:rFonts w:asciiTheme="minorHAnsi" w:eastAsiaTheme="minorHAnsi" w:hAnsiTheme="minorHAnsi" w:cstheme="minorHAnsi"/>
          <w:b/>
          <w:sz w:val="22"/>
          <w:szCs w:val="22"/>
          <w:u w:val="none"/>
        </w:rPr>
        <w:t>Μα</w:t>
      </w:r>
      <w:r w:rsidRPr="00DD6115">
        <w:rPr>
          <w:rFonts w:cstheme="minorHAnsi"/>
          <w:b/>
        </w:rPr>
        <w:t>θη</w:t>
      </w:r>
      <w:r w:rsidRPr="00DD6115">
        <w:rPr>
          <w:rStyle w:val="23"/>
          <w:rFonts w:asciiTheme="minorHAnsi" w:eastAsiaTheme="minorHAnsi" w:hAnsiTheme="minorHAnsi" w:cstheme="minorHAnsi"/>
          <w:b/>
          <w:sz w:val="22"/>
          <w:szCs w:val="22"/>
          <w:u w:val="none"/>
        </w:rPr>
        <w:t>τές που διακινούνται δωρεάν (Ν.1566/1985 πα</w:t>
      </w:r>
      <w:r w:rsidRPr="00DD6115">
        <w:rPr>
          <w:rFonts w:cstheme="minorHAnsi"/>
          <w:b/>
        </w:rPr>
        <w:t>ρ.9</w:t>
      </w:r>
      <w:r w:rsidRPr="00DD6115">
        <w:rPr>
          <w:rStyle w:val="23"/>
          <w:rFonts w:asciiTheme="minorHAnsi" w:eastAsiaTheme="minorHAnsi" w:hAnsiTheme="minorHAnsi" w:cstheme="minorHAnsi"/>
          <w:b/>
          <w:sz w:val="22"/>
          <w:szCs w:val="22"/>
          <w:u w:val="none"/>
        </w:rPr>
        <w:t xml:space="preserve"> </w:t>
      </w:r>
      <w:r w:rsidRPr="00DD6115">
        <w:rPr>
          <w:rFonts w:cstheme="minorHAnsi"/>
          <w:b/>
        </w:rPr>
        <w:t>με</w:t>
      </w:r>
      <w:r w:rsidRPr="00DD6115">
        <w:rPr>
          <w:rStyle w:val="23"/>
          <w:rFonts w:asciiTheme="minorHAnsi" w:eastAsiaTheme="minorHAnsi" w:hAnsiTheme="minorHAnsi" w:cstheme="minorHAnsi"/>
          <w:b/>
          <w:sz w:val="22"/>
          <w:szCs w:val="22"/>
          <w:u w:val="none"/>
        </w:rPr>
        <w:t xml:space="preserve"> Ειδικά Μαθητικά</w:t>
      </w:r>
      <w:r w:rsidRPr="00DD6115">
        <w:rPr>
          <w:rStyle w:val="23"/>
          <w:rFonts w:asciiTheme="minorHAnsi" w:eastAsiaTheme="minorHAnsi" w:hAnsiTheme="minorHAnsi" w:cstheme="minorHAnsi"/>
          <w:b/>
          <w:sz w:val="22"/>
          <w:szCs w:val="22"/>
          <w:u w:val="none"/>
        </w:rPr>
        <w:t xml:space="preserve"> </w:t>
      </w:r>
      <w:r w:rsidRPr="00DD6115">
        <w:rPr>
          <w:rStyle w:val="22"/>
          <w:rFonts w:asciiTheme="minorHAnsi" w:eastAsiaTheme="minorHAnsi" w:hAnsiTheme="minorHAnsi" w:cstheme="minorHAnsi"/>
          <w:sz w:val="22"/>
          <w:szCs w:val="22"/>
          <w:u w:val="none"/>
        </w:rPr>
        <w:t>Δελτία (Ε.Μ.Δ.)</w:t>
      </w:r>
      <w:r w:rsidRPr="00DD6115">
        <w:rPr>
          <w:rStyle w:val="2"/>
          <w:rFonts w:asciiTheme="minorHAnsi" w:eastAsiaTheme="minorHAnsi" w:hAnsiTheme="minorHAnsi" w:cstheme="minorHAnsi"/>
          <w:sz w:val="22"/>
          <w:szCs w:val="22"/>
        </w:rPr>
        <w:t>.</w:t>
      </w:r>
    </w:p>
    <w:p w:rsidR="00DD6115" w:rsidRP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a0"/>
          <w:rFonts w:asciiTheme="minorHAnsi" w:eastAsiaTheme="minorHAnsi" w:hAnsiTheme="minorHAnsi" w:cstheme="minorHAnsi"/>
          <w:sz w:val="22"/>
          <w:szCs w:val="22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Οι μαθητές που κατοικούν μακριά από την έδρα του σχολείου τους μεταφέρονται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δωρεάν με Ειδικά Μαθητικά Δελτία με τα συγκοινωνιακά μέσα ή με μισθωμένα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οχήματα, σύμφωνα με την ΚΥΑ ΙΒ6071/1998, που χορηγούνται από τους Διευθυντές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των σχολείων και θεωρούνται από το οικείο ΚΤΕΛ με μέριμνα των Διευθυντών των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σχολείων.</w:t>
      </w:r>
    </w:p>
    <w:p w:rsid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a0"/>
          <w:rFonts w:asciiTheme="minorHAnsi" w:eastAsiaTheme="minorHAnsi" w:hAnsiTheme="minorHAnsi" w:cstheme="minorHAnsi"/>
          <w:sz w:val="22"/>
          <w:szCs w:val="22"/>
          <w:lang w:val="en-US"/>
        </w:rPr>
      </w:pPr>
    </w:p>
    <w:p w:rsidR="00DD6115" w:rsidRP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a0"/>
          <w:rFonts w:asciiTheme="minorHAnsi" w:eastAsiaTheme="minorHAnsi" w:hAnsiTheme="minorHAnsi" w:cstheme="minorHAnsi"/>
          <w:sz w:val="22"/>
          <w:szCs w:val="22"/>
        </w:rPr>
      </w:pP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Μαθητές κάτοχοι Ε.Μ.Δ. που διακινούνται τις ημέρες μη λειτουργίας των σχολείων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υποχρεούνται να καταβάλουν το 50% της κανονικής τιμής του εισιτηρίου της ειδικής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a0"/>
          <w:rFonts w:asciiTheme="minorHAnsi" w:eastAsiaTheme="minorHAnsi" w:hAnsiTheme="minorHAnsi" w:cstheme="minorHAnsi"/>
          <w:sz w:val="22"/>
          <w:szCs w:val="22"/>
        </w:rPr>
        <w:t>διαδρομής που κάνουν σύμφωνα με το άρθρο 2 του Β.Δ.306/1973.</w:t>
      </w:r>
    </w:p>
    <w:p w:rsid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a0"/>
          <w:rFonts w:asciiTheme="minorHAnsi" w:eastAsiaTheme="minorHAnsi" w:hAnsiTheme="minorHAnsi" w:cstheme="minorHAnsi"/>
          <w:sz w:val="22"/>
          <w:szCs w:val="22"/>
          <w:lang w:val="en-US"/>
        </w:rPr>
      </w:pPr>
    </w:p>
    <w:p w:rsid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2"/>
          <w:rFonts w:asciiTheme="minorHAnsi" w:eastAsiaTheme="minorHAnsi" w:hAnsiTheme="minorHAnsi" w:cstheme="minorHAnsi"/>
          <w:sz w:val="22"/>
          <w:szCs w:val="22"/>
          <w:lang w:val="en-US"/>
        </w:rPr>
      </w:pP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Ο χρωματισμός των Ειδικών Μαθητικών Δελτίων καθορίζεται από τις οικείες</w:t>
      </w:r>
      <w:r w:rsidRPr="00DD6115"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Νομαρχιακές Αυτοδιοικήσεις</w:t>
      </w:r>
    </w:p>
    <w:p w:rsidR="00DD6115" w:rsidRPr="00DD6115" w:rsidRDefault="00DD6115" w:rsidP="00DD6115">
      <w:pPr>
        <w:pStyle w:val="ListParagraph"/>
        <w:tabs>
          <w:tab w:val="left" w:pos="733"/>
        </w:tabs>
        <w:spacing w:after="165" w:line="240" w:lineRule="auto"/>
        <w:ind w:left="1460"/>
        <w:rPr>
          <w:rStyle w:val="2"/>
          <w:rFonts w:asciiTheme="minorHAnsi" w:eastAsiaTheme="minorHAnsi" w:hAnsiTheme="minorHAnsi" w:cstheme="minorHAnsi"/>
          <w:sz w:val="22"/>
          <w:szCs w:val="22"/>
          <w:lang w:val="en-US"/>
        </w:rPr>
      </w:pPr>
    </w:p>
    <w:p w:rsidR="007B518F" w:rsidRPr="007B518F" w:rsidRDefault="00DD6115" w:rsidP="00CC25A2">
      <w:pPr>
        <w:pStyle w:val="ListParagraph"/>
        <w:numPr>
          <w:ilvl w:val="1"/>
          <w:numId w:val="3"/>
        </w:numPr>
        <w:tabs>
          <w:tab w:val="left" w:pos="733"/>
        </w:tabs>
        <w:spacing w:after="165" w:line="240" w:lineRule="auto"/>
        <w:rPr>
          <w:rStyle w:val="a0"/>
          <w:rFonts w:asciiTheme="minorHAnsi" w:eastAsiaTheme="minorHAnsi" w:hAnsiTheme="minorHAnsi" w:cstheme="minorHAnsi"/>
          <w:b/>
          <w:spacing w:val="0"/>
          <w:sz w:val="22"/>
          <w:szCs w:val="22"/>
        </w:rPr>
      </w:pPr>
      <w:r w:rsidRPr="00DD6115">
        <w:rPr>
          <w:rStyle w:val="110"/>
          <w:rFonts w:asciiTheme="minorHAnsi" w:eastAsiaTheme="minorHAnsi" w:hAnsiTheme="minorHAnsi" w:cstheme="minorHAnsi"/>
          <w:sz w:val="22"/>
          <w:szCs w:val="22"/>
          <w:u w:val="none"/>
        </w:rPr>
        <w:t>Δεν δικαιούνται μειωμένου Φοιτητικού ή μαθητικού εισιτηρίου</w:t>
      </w:r>
      <w:r w:rsidRPr="00DD6115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στα ΚΤΕΛ οι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καταρτιζόμενοι των ΙΕΚ,, οι σπουδαστές των Εργαστηρίων Ελευθέρων Σπουδών και οι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σπουδαστές Σχολών Μουσικής και Ωδείων αρμοδιότητας Υπουργείου Πολιτισμού, οι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σπουδαστές των Ανοικτών Πανεπιστημίων και οι σπουδαστές που φοιτούν στο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εξωτερικό</w:t>
      </w:r>
      <w:r w:rsidRPr="00DD6115">
        <w:rPr>
          <w:rStyle w:val="a0"/>
          <w:rFonts w:asciiTheme="minorHAnsi" w:eastAsiaTheme="minorHAnsi" w:hAnsiTheme="minorHAnsi" w:cstheme="minorHAnsi"/>
          <w:b/>
          <w:sz w:val="22"/>
          <w:szCs w:val="22"/>
        </w:rPr>
        <w:t>.</w:t>
      </w:r>
      <w:r w:rsidR="007B518F">
        <w:rPr>
          <w:rStyle w:val="a0"/>
          <w:rFonts w:asciiTheme="minorHAnsi" w:eastAsiaTheme="minorHAnsi" w:hAnsiTheme="minorHAnsi" w:cstheme="minorHAnsi"/>
          <w:b/>
          <w:sz w:val="22"/>
          <w:szCs w:val="22"/>
          <w:lang w:val="en-US"/>
        </w:rPr>
        <w:br/>
      </w:r>
    </w:p>
    <w:p w:rsidR="007B518F" w:rsidRPr="007B518F" w:rsidRDefault="00DD6115" w:rsidP="007B518F">
      <w:pPr>
        <w:pStyle w:val="ListParagraph"/>
        <w:numPr>
          <w:ilvl w:val="1"/>
          <w:numId w:val="3"/>
        </w:numPr>
        <w:tabs>
          <w:tab w:val="left" w:pos="733"/>
        </w:tabs>
        <w:spacing w:after="165" w:line="240" w:lineRule="auto"/>
        <w:rPr>
          <w:rFonts w:cstheme="minorHAnsi"/>
          <w:b/>
        </w:rPr>
      </w:pPr>
      <w:r w:rsidRPr="007B518F">
        <w:rPr>
          <w:rFonts w:cstheme="minorHAnsi"/>
        </w:rPr>
        <w:t>Χρωματισμός</w:t>
      </w:r>
      <w:r w:rsidRPr="007B518F">
        <w:rPr>
          <w:rStyle w:val="220"/>
          <w:rFonts w:asciiTheme="minorHAnsi" w:eastAsiaTheme="minorHAnsi" w:hAnsiTheme="minorHAnsi" w:cstheme="minorHAnsi"/>
          <w:sz w:val="22"/>
          <w:szCs w:val="22"/>
          <w:u w:val="none"/>
        </w:rPr>
        <w:t xml:space="preserve"> </w:t>
      </w:r>
      <w:r w:rsidRPr="007B518F">
        <w:rPr>
          <w:rFonts w:cstheme="minorHAnsi"/>
        </w:rPr>
        <w:t>φ</w:t>
      </w:r>
      <w:r w:rsidRPr="007B518F">
        <w:rPr>
          <w:rStyle w:val="220"/>
          <w:rFonts w:asciiTheme="minorHAnsi" w:eastAsiaTheme="minorHAnsi" w:hAnsiTheme="minorHAnsi" w:cstheme="minorHAnsi"/>
          <w:sz w:val="22"/>
          <w:szCs w:val="22"/>
          <w:u w:val="none"/>
        </w:rPr>
        <w:t xml:space="preserve">οιτητικών και μαθητικών </w:t>
      </w:r>
      <w:r w:rsidRPr="007B518F">
        <w:rPr>
          <w:rFonts w:cstheme="minorHAnsi"/>
        </w:rPr>
        <w:t>δελτίων</w:t>
      </w:r>
    </w:p>
    <w:p w:rsidR="007B518F" w:rsidRPr="007B518F" w:rsidRDefault="00DD6115" w:rsidP="007B518F">
      <w:pPr>
        <w:pStyle w:val="ListParagraph"/>
        <w:tabs>
          <w:tab w:val="left" w:pos="733"/>
        </w:tabs>
        <w:spacing w:after="165" w:line="240" w:lineRule="auto"/>
        <w:ind w:left="1460"/>
        <w:rPr>
          <w:rFonts w:cstheme="minorHAnsi"/>
          <w:spacing w:val="2"/>
        </w:rPr>
      </w:pPr>
      <w:r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Με την υπ' αριθ. </w:t>
      </w:r>
      <w:r w:rsidRPr="007B518F">
        <w:rPr>
          <w:rStyle w:val="a0"/>
          <w:rFonts w:asciiTheme="minorHAnsi" w:eastAsiaTheme="minorHAnsi" w:hAnsiTheme="minorHAnsi" w:cstheme="minorHAnsi"/>
          <w:sz w:val="22"/>
          <w:szCs w:val="22"/>
          <w:lang w:val="en-US"/>
        </w:rPr>
        <w:t>A</w:t>
      </w:r>
      <w:r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>-18682/1798/6-5-2010 υπουργική απόφαση καθορίσθηκε όπως το</w:t>
      </w:r>
      <w:r w:rsidR="007B518F"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>χρώμα των φοιτητικών και μαθητικών εισιτηρίων εναλλάσσεται κάθε χρόνο,</w:t>
      </w:r>
      <w:r w:rsidR="007B518F"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B518F">
        <w:rPr>
          <w:rStyle w:val="a0"/>
          <w:rFonts w:asciiTheme="minorHAnsi" w:eastAsiaTheme="minorHAnsi" w:hAnsiTheme="minorHAnsi" w:cstheme="minorHAnsi"/>
          <w:sz w:val="22"/>
          <w:szCs w:val="22"/>
        </w:rPr>
        <w:t>ακολουθώντας την παρακάτω σειρά χρ</w:t>
      </w:r>
      <w:r w:rsidR="007B518F">
        <w:rPr>
          <w:rStyle w:val="a0"/>
          <w:rFonts w:asciiTheme="minorHAnsi" w:eastAsiaTheme="minorHAnsi" w:hAnsiTheme="minorHAnsi" w:cstheme="minorHAnsi"/>
          <w:sz w:val="22"/>
          <w:szCs w:val="22"/>
        </w:rPr>
        <w:t>ωμάτων για την επόμενη πενταετία:</w:t>
      </w:r>
    </w:p>
    <w:tbl>
      <w:tblPr>
        <w:tblStyle w:val="LightList"/>
        <w:tblW w:w="0" w:type="auto"/>
        <w:jc w:val="center"/>
        <w:tblLook w:val="0000" w:firstRow="0" w:lastRow="0" w:firstColumn="0" w:lastColumn="0" w:noHBand="0" w:noVBand="0"/>
      </w:tblPr>
      <w:tblGrid>
        <w:gridCol w:w="1297"/>
        <w:gridCol w:w="2001"/>
        <w:gridCol w:w="1982"/>
      </w:tblGrid>
      <w:tr w:rsidR="00DD6115" w:rsidRPr="00636B00" w:rsidTr="007B5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7B518F" w:rsidRDefault="00DD6115" w:rsidP="007B518F">
            <w:pPr>
              <w:jc w:val="center"/>
              <w:rPr>
                <w:rFonts w:cstheme="minorHAnsi"/>
                <w:b/>
              </w:rPr>
            </w:pPr>
            <w:r w:rsidRPr="007B518F">
              <w:rPr>
                <w:rStyle w:val="2"/>
                <w:rFonts w:asciiTheme="minorHAnsi" w:eastAsiaTheme="minorHAnsi" w:hAnsiTheme="minorHAnsi" w:cstheme="minorHAnsi"/>
                <w:b/>
                <w:sz w:val="22"/>
                <w:szCs w:val="22"/>
              </w:rPr>
              <w:t>ΕΤΗ</w:t>
            </w:r>
          </w:p>
        </w:tc>
        <w:tc>
          <w:tcPr>
            <w:tcW w:w="0" w:type="auto"/>
            <w:vAlign w:val="center"/>
          </w:tcPr>
          <w:p w:rsidR="00DD6115" w:rsidRPr="007B518F" w:rsidRDefault="00DD6115" w:rsidP="007B5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B518F">
              <w:rPr>
                <w:rStyle w:val="2"/>
                <w:rFonts w:asciiTheme="minorHAnsi" w:eastAsiaTheme="minorHAnsi" w:hAnsiTheme="minorHAnsi" w:cstheme="minorHAnsi"/>
                <w:b/>
                <w:sz w:val="22"/>
                <w:szCs w:val="22"/>
              </w:rPr>
              <w:t>ΦΟΙΤΗΤΙΚΑ ΔΕΛΤΙΑ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7B518F" w:rsidRDefault="00DD6115" w:rsidP="007B518F">
            <w:pPr>
              <w:jc w:val="center"/>
              <w:rPr>
                <w:rFonts w:cstheme="minorHAnsi"/>
                <w:b/>
              </w:rPr>
            </w:pPr>
            <w:r w:rsidRPr="007B518F">
              <w:rPr>
                <w:rStyle w:val="2"/>
                <w:rFonts w:asciiTheme="minorHAnsi" w:eastAsiaTheme="minorHAnsi" w:hAnsiTheme="minorHAnsi" w:cstheme="minorHAnsi"/>
                <w:b/>
                <w:sz w:val="22"/>
                <w:szCs w:val="22"/>
              </w:rPr>
              <w:t>ΜΑΘΗΤΙΚΑ ΔΕΛΤΙΑ</w:t>
            </w:r>
          </w:p>
        </w:tc>
      </w:tr>
      <w:tr w:rsidR="00DD6115" w:rsidRPr="00636B00" w:rsidTr="007B518F">
        <w:trPr>
          <w:trHeight w:val="3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2010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-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2011</w:t>
            </w:r>
          </w:p>
        </w:tc>
        <w:tc>
          <w:tcPr>
            <w:tcW w:w="0" w:type="auto"/>
            <w:vAlign w:val="center"/>
          </w:tcPr>
          <w:p w:rsidR="00DD6115" w:rsidRPr="00636B00" w:rsidRDefault="00DD6115" w:rsidP="007B5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ΡΟΖ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ΠΡΑΣΙΝΟ ΣΚΟΥΡΟ</w:t>
            </w:r>
          </w:p>
        </w:tc>
      </w:tr>
      <w:tr w:rsidR="00DD6115" w:rsidRPr="00636B00" w:rsidTr="007B5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2011 -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DD6115" w:rsidRPr="00636B00" w:rsidRDefault="00DD6115" w:rsidP="007B5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ΑΣΠΡΟ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ΠΟΡΤΟΚΑΛΙ</w:t>
            </w:r>
          </w:p>
        </w:tc>
      </w:tr>
      <w:tr w:rsidR="00DD6115" w:rsidRPr="00636B00" w:rsidTr="007B518F">
        <w:trPr>
          <w:trHeight w:val="40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2012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-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DD6115" w:rsidRPr="00636B00" w:rsidRDefault="00DD6115" w:rsidP="007B5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ΜΠΕΖ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ΚΙΤΡΙΝΟ</w:t>
            </w:r>
          </w:p>
        </w:tc>
      </w:tr>
      <w:tr w:rsidR="00DD6115" w:rsidRPr="00636B00" w:rsidTr="007B5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2013 - 2014</w:t>
            </w:r>
          </w:p>
        </w:tc>
        <w:tc>
          <w:tcPr>
            <w:tcW w:w="0" w:type="auto"/>
            <w:vAlign w:val="center"/>
          </w:tcPr>
          <w:p w:rsidR="00DD6115" w:rsidRPr="00636B00" w:rsidRDefault="00DD6115" w:rsidP="007B5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ΠΟΡΤΟΚΑΛΙ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ΜΟΒ</w:t>
            </w:r>
          </w:p>
        </w:tc>
      </w:tr>
      <w:tr w:rsidR="00DD6115" w:rsidRPr="00636B00" w:rsidTr="007B518F">
        <w:trPr>
          <w:trHeight w:val="4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2014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-</w:t>
            </w:r>
            <w:r w:rsidR="00F072BD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DD6115" w:rsidRPr="00636B00" w:rsidRDefault="00DD6115" w:rsidP="007B5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ΓΚΡΙ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D6115" w:rsidRPr="00636B00" w:rsidRDefault="00DD6115" w:rsidP="007B518F">
            <w:pPr>
              <w:jc w:val="center"/>
              <w:rPr>
                <w:rFonts w:cstheme="minorHAnsi"/>
              </w:rPr>
            </w:pPr>
            <w:r w:rsidRPr="00636B00">
              <w:rPr>
                <w:rStyle w:val="a0"/>
                <w:rFonts w:asciiTheme="minorHAnsi" w:eastAsiaTheme="minorHAnsi" w:hAnsiTheme="minorHAnsi" w:cstheme="minorHAnsi"/>
                <w:sz w:val="22"/>
                <w:szCs w:val="22"/>
              </w:rPr>
              <w:t>ΠΡΑΣΙΝΟ ΑΝΟΙΧΤΟ</w:t>
            </w:r>
          </w:p>
        </w:tc>
      </w:tr>
    </w:tbl>
    <w:p w:rsidR="007B518F" w:rsidRDefault="007B518F" w:rsidP="007B518F">
      <w:pPr>
        <w:spacing w:after="157" w:line="210" w:lineRule="exact"/>
        <w:ind w:left="140" w:right="529"/>
        <w:rPr>
          <w:rStyle w:val="2"/>
          <w:rFonts w:asciiTheme="minorHAnsi" w:eastAsiaTheme="minorHAnsi" w:hAnsiTheme="minorHAnsi" w:cstheme="minorHAnsi"/>
          <w:sz w:val="22"/>
          <w:szCs w:val="22"/>
        </w:rPr>
      </w:pPr>
    </w:p>
    <w:p w:rsidR="007B518F" w:rsidRPr="007B518F" w:rsidRDefault="007B518F" w:rsidP="007B518F">
      <w:pPr>
        <w:spacing w:after="157" w:line="210" w:lineRule="exact"/>
        <w:ind w:left="1440" w:right="529"/>
        <w:rPr>
          <w:rFonts w:cstheme="minorHAnsi"/>
          <w:b/>
        </w:rPr>
      </w:pPr>
      <w:r w:rsidRPr="007B518F">
        <w:rPr>
          <w:rStyle w:val="2"/>
          <w:rFonts w:asciiTheme="minorHAnsi" w:eastAsiaTheme="minorHAnsi" w:hAnsiTheme="minorHAnsi" w:cstheme="minorHAnsi"/>
          <w:b/>
          <w:sz w:val="22"/>
          <w:szCs w:val="22"/>
        </w:rPr>
        <w:t>ΣΗΜΕΙΩΣΗ ΓΙΑ ΠΑΡΑΤΑΣΗ ΦΟΙΤΗΤΙΚΩΝ ΔΕΛΤΙΩΝ</w:t>
      </w:r>
    </w:p>
    <w:p w:rsidR="007B518F" w:rsidRPr="00636B00" w:rsidRDefault="007B518F" w:rsidP="007B518F">
      <w:pPr>
        <w:spacing w:line="272" w:lineRule="exact"/>
        <w:ind w:left="1440" w:right="580"/>
        <w:rPr>
          <w:rFonts w:cstheme="minorHAnsi"/>
        </w:rPr>
      </w:pP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Σύμφωνα με την </w:t>
      </w:r>
      <w:proofErr w:type="spellStart"/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υπ'αριθ</w:t>
      </w:r>
      <w:proofErr w:type="spellEnd"/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. 21822/3076/25-7-1991 εγκύκλιο του Υπουργού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Μεταφορών και Επικοινωνιών τα φοιτητικά Δελτία (Δ.Ε.Ε.) ισχύουν για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ολόκληρο το ακαδημαϊκό έτος ήτοι από 1η Σεπτεμβρίου μέχρι 31 Αυγούστου του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επόμενου έτους. Επειδή ο Εφοδιασμός των σχολών με τα νέα δελτία είναι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πρακτικά αδύνατος, για το χρονικό διάστημα από 1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  <w:vertAlign w:val="superscript"/>
        </w:rPr>
        <w:t>ης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μέχρι 30 Σεπτεμβρίου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εκάστου έτους, θ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α γίνονται δεκτά και τα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δελτία του προηγούμενου α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καδημαϊκού</w:t>
      </w:r>
      <w:r>
        <w:rPr>
          <w:rStyle w:val="2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6B00">
        <w:rPr>
          <w:rStyle w:val="2"/>
          <w:rFonts w:asciiTheme="minorHAnsi" w:eastAsiaTheme="minorHAnsi" w:hAnsiTheme="minorHAnsi" w:cstheme="minorHAnsi"/>
          <w:sz w:val="22"/>
          <w:szCs w:val="22"/>
        </w:rPr>
        <w:t>έτους.</w:t>
      </w:r>
    </w:p>
    <w:p w:rsidR="007B518F" w:rsidRPr="007B518F" w:rsidRDefault="007B518F" w:rsidP="00CC25A2">
      <w:pPr>
        <w:spacing w:line="240" w:lineRule="auto"/>
      </w:pPr>
    </w:p>
    <w:p w:rsidR="00DD6115" w:rsidRPr="007B518F" w:rsidRDefault="00DD6115" w:rsidP="00CC25A2">
      <w:pPr>
        <w:spacing w:line="240" w:lineRule="auto"/>
      </w:pPr>
    </w:p>
    <w:sectPr w:rsidR="00DD6115" w:rsidRPr="007B51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2078"/>
    <w:multiLevelType w:val="hybridMultilevel"/>
    <w:tmpl w:val="00FC0596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4419312C"/>
    <w:multiLevelType w:val="hybridMultilevel"/>
    <w:tmpl w:val="503A27A2"/>
    <w:lvl w:ilvl="0" w:tplc="0408001B">
      <w:start w:val="1"/>
      <w:numFmt w:val="lowerRoman"/>
      <w:lvlText w:val="%1."/>
      <w:lvlJc w:val="right"/>
      <w:pPr>
        <w:ind w:left="2360" w:hanging="360"/>
      </w:pPr>
    </w:lvl>
    <w:lvl w:ilvl="1" w:tplc="04080019" w:tentative="1">
      <w:start w:val="1"/>
      <w:numFmt w:val="lowerLetter"/>
      <w:lvlText w:val="%2."/>
      <w:lvlJc w:val="left"/>
      <w:pPr>
        <w:ind w:left="3080" w:hanging="360"/>
      </w:pPr>
    </w:lvl>
    <w:lvl w:ilvl="2" w:tplc="0408001B" w:tentative="1">
      <w:start w:val="1"/>
      <w:numFmt w:val="lowerRoman"/>
      <w:lvlText w:val="%3."/>
      <w:lvlJc w:val="right"/>
      <w:pPr>
        <w:ind w:left="3800" w:hanging="180"/>
      </w:pPr>
    </w:lvl>
    <w:lvl w:ilvl="3" w:tplc="0408000F" w:tentative="1">
      <w:start w:val="1"/>
      <w:numFmt w:val="decimal"/>
      <w:lvlText w:val="%4."/>
      <w:lvlJc w:val="left"/>
      <w:pPr>
        <w:ind w:left="4520" w:hanging="360"/>
      </w:pPr>
    </w:lvl>
    <w:lvl w:ilvl="4" w:tplc="04080019" w:tentative="1">
      <w:start w:val="1"/>
      <w:numFmt w:val="lowerLetter"/>
      <w:lvlText w:val="%5."/>
      <w:lvlJc w:val="left"/>
      <w:pPr>
        <w:ind w:left="5240" w:hanging="360"/>
      </w:pPr>
    </w:lvl>
    <w:lvl w:ilvl="5" w:tplc="0408001B" w:tentative="1">
      <w:start w:val="1"/>
      <w:numFmt w:val="lowerRoman"/>
      <w:lvlText w:val="%6."/>
      <w:lvlJc w:val="right"/>
      <w:pPr>
        <w:ind w:left="5960" w:hanging="180"/>
      </w:pPr>
    </w:lvl>
    <w:lvl w:ilvl="6" w:tplc="0408000F" w:tentative="1">
      <w:start w:val="1"/>
      <w:numFmt w:val="decimal"/>
      <w:lvlText w:val="%7."/>
      <w:lvlJc w:val="left"/>
      <w:pPr>
        <w:ind w:left="6680" w:hanging="360"/>
      </w:pPr>
    </w:lvl>
    <w:lvl w:ilvl="7" w:tplc="04080019" w:tentative="1">
      <w:start w:val="1"/>
      <w:numFmt w:val="lowerLetter"/>
      <w:lvlText w:val="%8."/>
      <w:lvlJc w:val="left"/>
      <w:pPr>
        <w:ind w:left="7400" w:hanging="360"/>
      </w:pPr>
    </w:lvl>
    <w:lvl w:ilvl="8" w:tplc="0408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">
    <w:nsid w:val="630C00EA"/>
    <w:multiLevelType w:val="multilevel"/>
    <w:tmpl w:val="9296E72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l"/>
      </w:rPr>
    </w:lvl>
    <w:lvl w:ilvl="1">
      <w:start w:val="3"/>
      <w:numFmt w:val="low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single"/>
        <w:lang w:val="e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F6AA9"/>
    <w:multiLevelType w:val="hybridMultilevel"/>
    <w:tmpl w:val="96781D5A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A2"/>
    <w:rsid w:val="001E20CA"/>
    <w:rsid w:val="00213C8E"/>
    <w:rsid w:val="0032761B"/>
    <w:rsid w:val="004062FE"/>
    <w:rsid w:val="00420997"/>
    <w:rsid w:val="00481234"/>
    <w:rsid w:val="00652936"/>
    <w:rsid w:val="007B518F"/>
    <w:rsid w:val="008C26DA"/>
    <w:rsid w:val="00B63C3F"/>
    <w:rsid w:val="00C12709"/>
    <w:rsid w:val="00CC25A2"/>
    <w:rsid w:val="00DC22B6"/>
    <w:rsid w:val="00DD6115"/>
    <w:rsid w:val="00E30804"/>
    <w:rsid w:val="00EC77F6"/>
    <w:rsid w:val="00F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ώμα κειμένου_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0">
    <w:name w:val="Σώμα κειμένου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11">
    <w:name w:val="Σώμα κειμένου + 11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</w:rPr>
  </w:style>
  <w:style w:type="character" w:customStyle="1" w:styleId="a1">
    <w:name w:val="Σώμα κειμένου + Έντονη γραφή"/>
    <w:basedOn w:val="a"/>
    <w:rsid w:val="00CC25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105075">
    <w:name w:val="Σώμα κειμένου + 10;5 στ.;Έντονη γραφή;Πλάγια γραφή;Διάστιχο 0 στ.;Κλίμακα 75%"/>
    <w:basedOn w:val="a"/>
    <w:rsid w:val="00CC25A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w w:val="75"/>
      <w:sz w:val="21"/>
      <w:szCs w:val="21"/>
    </w:rPr>
  </w:style>
  <w:style w:type="character" w:customStyle="1" w:styleId="2">
    <w:name w:val="Σώμα κειμένου (2)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20">
    <w:name w:val="Σώμα κειμένου (2)_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211">
    <w:name w:val="Σώμα κειμένου (2) + 11 στ."/>
    <w:basedOn w:val="20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21">
    <w:name w:val="Σώμα κειμένου + Διάστιχο 2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paragraph" w:styleId="ListParagraph">
    <w:name w:val="List Paragraph"/>
    <w:basedOn w:val="Normal"/>
    <w:uiPriority w:val="34"/>
    <w:qFormat/>
    <w:rsid w:val="00CC25A2"/>
    <w:pPr>
      <w:ind w:left="720"/>
      <w:contextualSpacing/>
    </w:pPr>
  </w:style>
  <w:style w:type="character" w:customStyle="1" w:styleId="9">
    <w:name w:val="Σώμα κειμένου + 9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a2">
    <w:name w:val="Σώμα κειμένου + Πλάγια γραφή"/>
    <w:basedOn w:val="a"/>
    <w:rsid w:val="00DD6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1"/>
      <w:szCs w:val="21"/>
    </w:rPr>
  </w:style>
  <w:style w:type="character" w:customStyle="1" w:styleId="22">
    <w:name w:val="Επικεφαλίδα #2 + Χωρίς έντονη γραφή"/>
    <w:basedOn w:val="DefaultParagraphFont"/>
    <w:rsid w:val="00DD6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23">
    <w:name w:val="Επικεφαλίδα #2"/>
    <w:basedOn w:val="DefaultParagraphFont"/>
    <w:rsid w:val="00DD6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character" w:customStyle="1" w:styleId="110">
    <w:name w:val="Σώμα κειμένου + 11 στ.;Έντονη γραφή"/>
    <w:basedOn w:val="a"/>
    <w:rsid w:val="00DD6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220">
    <w:name w:val="Επικεφαλίδα #2 (2)"/>
    <w:basedOn w:val="DefaultParagraphFont"/>
    <w:rsid w:val="00DD6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</w:rPr>
  </w:style>
  <w:style w:type="table" w:styleId="LightList">
    <w:name w:val="Light List"/>
    <w:basedOn w:val="TableNormal"/>
    <w:uiPriority w:val="61"/>
    <w:rsid w:val="007B5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B518F"/>
    <w:rPr>
      <w:rFonts w:ascii="Franklin Gothic Heavy" w:eastAsia="Franklin Gothic Heavy" w:hAnsi="Franklin Gothic Heavy" w:cs="Franklin Gothic Heavy"/>
      <w:spacing w:val="7"/>
      <w:sz w:val="30"/>
      <w:szCs w:val="30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B518F"/>
    <w:pPr>
      <w:shd w:val="clear" w:color="auto" w:fill="FFFFFF"/>
      <w:spacing w:after="30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ώμα κειμένου_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0">
    <w:name w:val="Σώμα κειμένου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11">
    <w:name w:val="Σώμα κειμένου + 11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</w:rPr>
  </w:style>
  <w:style w:type="character" w:customStyle="1" w:styleId="a1">
    <w:name w:val="Σώμα κειμένου + Έντονη γραφή"/>
    <w:basedOn w:val="a"/>
    <w:rsid w:val="00CC25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105075">
    <w:name w:val="Σώμα κειμένου + 10;5 στ.;Έντονη γραφή;Πλάγια γραφή;Διάστιχο 0 στ.;Κλίμακα 75%"/>
    <w:basedOn w:val="a"/>
    <w:rsid w:val="00CC25A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w w:val="75"/>
      <w:sz w:val="21"/>
      <w:szCs w:val="21"/>
    </w:rPr>
  </w:style>
  <w:style w:type="character" w:customStyle="1" w:styleId="2">
    <w:name w:val="Σώμα κειμένου (2)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20">
    <w:name w:val="Σώμα κειμένου (2)_"/>
    <w:basedOn w:val="DefaultParagraphFont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211">
    <w:name w:val="Σώμα κειμένου (2) + 11 στ."/>
    <w:basedOn w:val="20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21">
    <w:name w:val="Σώμα κειμένου + Διάστιχο 2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paragraph" w:styleId="ListParagraph">
    <w:name w:val="List Paragraph"/>
    <w:basedOn w:val="Normal"/>
    <w:uiPriority w:val="34"/>
    <w:qFormat/>
    <w:rsid w:val="00CC25A2"/>
    <w:pPr>
      <w:ind w:left="720"/>
      <w:contextualSpacing/>
    </w:pPr>
  </w:style>
  <w:style w:type="character" w:customStyle="1" w:styleId="9">
    <w:name w:val="Σώμα κειμένου + 9 στ."/>
    <w:basedOn w:val="a"/>
    <w:rsid w:val="00CC25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a2">
    <w:name w:val="Σώμα κειμένου + Πλάγια γραφή"/>
    <w:basedOn w:val="a"/>
    <w:rsid w:val="00DD6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1"/>
      <w:szCs w:val="21"/>
    </w:rPr>
  </w:style>
  <w:style w:type="character" w:customStyle="1" w:styleId="22">
    <w:name w:val="Επικεφαλίδα #2 + Χωρίς έντονη γραφή"/>
    <w:basedOn w:val="DefaultParagraphFont"/>
    <w:rsid w:val="00DD6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23">
    <w:name w:val="Επικεφαλίδα #2"/>
    <w:basedOn w:val="DefaultParagraphFont"/>
    <w:rsid w:val="00DD6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character" w:customStyle="1" w:styleId="110">
    <w:name w:val="Σώμα κειμένου + 11 στ.;Έντονη γραφή"/>
    <w:basedOn w:val="a"/>
    <w:rsid w:val="00DD6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220">
    <w:name w:val="Επικεφαλίδα #2 (2)"/>
    <w:basedOn w:val="DefaultParagraphFont"/>
    <w:rsid w:val="00DD6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</w:rPr>
  </w:style>
  <w:style w:type="table" w:styleId="LightList">
    <w:name w:val="Light List"/>
    <w:basedOn w:val="TableNormal"/>
    <w:uiPriority w:val="61"/>
    <w:rsid w:val="007B5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B518F"/>
    <w:rPr>
      <w:rFonts w:ascii="Franklin Gothic Heavy" w:eastAsia="Franklin Gothic Heavy" w:hAnsi="Franklin Gothic Heavy" w:cs="Franklin Gothic Heavy"/>
      <w:spacing w:val="7"/>
      <w:sz w:val="30"/>
      <w:szCs w:val="30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B518F"/>
    <w:pPr>
      <w:shd w:val="clear" w:color="auto" w:fill="FFFFFF"/>
      <w:spacing w:after="30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1597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 Tsaousis</dc:creator>
  <cp:lastModifiedBy>Costa Tsaousis</cp:lastModifiedBy>
  <cp:revision>6</cp:revision>
  <cp:lastPrinted>2011-05-06T10:29:00Z</cp:lastPrinted>
  <dcterms:created xsi:type="dcterms:W3CDTF">2011-05-06T09:58:00Z</dcterms:created>
  <dcterms:modified xsi:type="dcterms:W3CDTF">2011-05-06T10:50:00Z</dcterms:modified>
</cp:coreProperties>
</file>